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645"/>
      </w:pPr>
      <w:r>
        <w:rPr>
          <w:rFonts w:ascii="仿宋_GB2312" w:eastAsia="仿宋_GB2312" w:cs="仿宋_GB2312"/>
          <w:sz w:val="31"/>
          <w:szCs w:val="31"/>
          <w:shd w:val="clear" w:fill="FFFFFF"/>
        </w:rPr>
        <w:t>面试时间及地点</w:t>
      </w:r>
      <w:bookmarkStart w:id="0" w:name="_GoBack"/>
      <w:bookmarkEnd w:id="0"/>
    </w:p>
    <w:tbl>
      <w:tblPr>
        <w:tblW w:w="8040" w:type="dxa"/>
        <w:jc w:val="center"/>
        <w:tblCellSpacing w:w="15" w:type="dxa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7"/>
        <w:gridCol w:w="2710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会员部组织处主任科员及以下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3月5日上午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9：00-11：30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七层第一会议室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法律部权益处主任科员及以下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3月5日上午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9：00-11：30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七层第二会议室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经济部发展处主任科员及以下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3月5日上午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9：00-11：30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六层第一会议室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机关党委办公室（组织处）主任科员及以下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3月5日下午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14:00</w:t>
            </w:r>
            <w:r>
              <w:rPr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16:30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七层第一会议室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8"/>
                <w:szCs w:val="28"/>
                <w:bdr w:val="none" w:color="auto" w:sz="0" w:space="0"/>
              </w:rPr>
              <w:t>法律部劳动关系处主任科员及以下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3月5日下午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14:00</w:t>
            </w:r>
            <w:r>
              <w:rPr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16:30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七层第二会议室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联络部二处主任科员及以下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3月6日上午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9：00-11：30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七层第一会议室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研究室调研处主任科员及以下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3月6日上午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9：00-11：30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七层第二会议室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2019-02-13T01:24:51Z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